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2009/324 vom 13. Dezember 2011</w:t>
      </w:r>
    </w:p>
    <w:p>
      <w:r>
        <w:t>Sg Versicherungsgericht, 2011-12-13, DE</w:t>
      </w:r>
    </w:p>
    <w:p>
      <w:r>
        <w:rPr>
          <w:b/>
        </w:rPr>
        <w:t xml:space="preserve">Quelle: </w:t>
      </w:r>
      <w:r>
        <w:t>https://mcp.opencaselaw.ch/entscheid/sg_publikationen_IV 2009_324</w:t>
      </w:r>
    </w:p>
    <w:p>
      <w:r>
        <w:t>FR: SG_VERSICHERUNGSGERICHT IV 2009/324 du 13 décembre 2011</w:t>
      </w:r>
    </w:p>
    <w:p>
      <w:r>
        <w:t>IT: SG_VERSICHERUNGSGERICHT IV 2009/324 del 13 dicembre 2011</w:t>
      </w:r>
    </w:p>
    <w:p>
      <w:pPr>
        <w:pStyle w:val="Heading2"/>
      </w:pPr>
      <w:r>
        <w:t>Regeste</w:t>
      </w:r>
    </w:p>
    <w:p>
      <w:r>
        <w:t>Art. 28 Abs. 2 IVG: Rentenanspruch. Würdigung eines rheumatologischen Gutachtens (Entscheid des Versicherungsgerichts des Kantons St. Gallen vom 13. Dezember 2011, IV 2009/324).</w:t>
      </w:r>
    </w:p>
    <w:p>
      <w:pPr>
        <w:pStyle w:val="Heading2"/>
      </w:pPr>
      <w:r>
        <w:t>Erwägungen</w:t>
      </w:r>
    </w:p>
    <w:p>
      <w:r>
        <w:rPr>
          <w:b/>
        </w:rPr>
        <w:t>E. 1</w:t>
      </w:r>
    </w:p>
    <w:p>
      <w:r>
        <w:t>1.1    Streitig und zu prüfen ist vorliegend, ob die Beschwerdegegnerin den Anspruch des Beschwerdeführers auf eine Invalidenrente zu Recht abgelehnt hat. 1.2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3. August 2009, wobei ein Sacherhalt zu beurteilen ist,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1.3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1.4    Die Rentenabstufungen nach 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(BGE 125 V 352 E. 3a).</w:t>
      </w:r>
    </w:p>
    <w:p>
      <w:r>
        <w:rPr>
          <w:b/>
        </w:rPr>
        <w:t>E. 2</w:t>
      </w:r>
    </w:p>
    <w:p>
      <w:r>
        <w:t>2.1    Zu prüfen ist vorab, ob die medizinische Aktenlage eine rechtsgenügliche Beurteilung der Arbeitsfähigkeit des Beschwerdeführers erlaubt. 2.2    Die Beschwerdegegnerin stützt sich in der angefochtenen Verfügung auf die Stellungnahme des RAD vom 15. April 2009, in welcher dem Beschwerdeführer für eine adaptierte Tätigkeit eine 100%ige Arbeitsfähigkeit attestiert wird. Der RAD wiederum stützt sich bei seiner Einschätzung insbesondere bezüglich der Befunde und Diagnosen auf das Gutachten von Dr. B.___ vom 6. Februar 2009. Diesem ist unter anderem zu entnehmen, dass dem Beschwerdeführer die bisherige Arbeit im Sinn einer Fahrtätigkeit ohne manuelle Tätigkeit zu 80% zumutbar sei. Bei optimaler Anpassung, wie zurzeit möglich als Chauffeur, bestehe eine maximale Arbeitsfähigkeit von 80%. Manuelle Tätigkeiten auch in den unteren Bewegungsgraden, d.h. unterhalb der Brusthöhe mit Kraftaufwendungen über ein bis zwei Kilogramm seien praktisch nicht mehr möglich. Nicht belastende Aktivitäten mit der rechten Hand seien hingegen noch möglich. Präzisierend führte Dr. B.___ im Schreiben vom 9. November 2011 aus, dass der Beschwerdeführer auch in einer anderen optimal adaptierten Tätigkeit nicht zu 100% arbeitsfähig sei. Jede auch leichte Tätigkeit (beispielsweise Schreibtischarbeit, Computerarbeit, Taxi fahren oder andere leichte Chauffeurtätigkeit) sei verbunden mit einer tendenziell sehr raschen und erheblichen Ermüdungs- und zum Teil dann Verkrampfungserscheinung. Es seien deshalb häufigere und zum Teil eben längere Pausen sinnvoll und notwendig, was die Arbeitsreduktion auch in einer optimal adaptierten Tätigkeit erkläre. Die Ausführungen und das Gutachten von Dr. B.___ sind plausibel und nachvollziehbar. Die Beschwerdegegnerin macht dann auch keine konkreten Einwände gegen die Einschätzung von Dr. B.___ geltend. Hingegen vermag aufgrund der ausgewiesenen Schulterproblematik und der daraus resultierenden Einschränkungen die vom RAD attestierte 100%ige Arbeitsfähigkeit für eine angepasste Tätigkeit nicht zu überzeugen. Unter Berücksichtigung der gesamten Aktenlage ist demnach von einer 80%igen Arbeitsfähigkeit in einer angepassten Tätigkeit auszugehen. 2.3    Die vom Beschwerdeführer geltend gemachten Einwände vermögen keine höhere Arbeitsunfähigkeit zu begründen. Dem Gutachten ist zu entnehmen, dass die lumbale Symptomatik im vorliegend massgebenden Zeitraum nur eine untergeordnete Rolle gespielt hat und somit keine zusätzliche Auswirkung auf die Arbeitsfähigkeit zeitigt. Sodann führte Dr. B.___ im Schreiben vom 9. November 2011 aus, dass die 80%ige Arbeitsfähigkeitseinschätzung für eine angepasste Tätigkeit auf einer medizinisch-theoretischen Beurteilung beruhe, weshalb sich selbst bei Kenntnis der Tatsache, dass der Beschwerdeführer damals offensichtlich nur zu 60% als Chauffeur (ohne manuelle Tätigkeiten) gearbeitet habe, nichts an der Einschätzung ändere. Eine Verschlechterung des Gesundheitszustands bis zum Zeitpunkt der angefochtenen Verfügung (3. August 2009) ist der medizinischen Aktenlage nicht zu entnehmen. Der mit der Replik vom 2. März 2010 ins Recht gelegte Bericht von Dr. med. E.___, Allgemeine Medizin FMH, vom 1. März 2010 (act. G 12.1) kann im vorliegenden Verfahren keine Berücksichtigung mehr finden. Bei einer erheblichen Verschlechterung des Gesundheitszustands seit dem Erlass der angefochtenen Verfügung steht es dem Beschwerdeführer frei, sich erneut bei der Beschwerdegegnerin zu melden. 2.4    Da von weiteren medizinischen Abklärungen keine neuen Erkenntnisse zu erwarten sind, ist dem Eventualantrag des Beschwerdeführers nicht stattzugeben (antizipierte Beweiswürdigung; vgl. BGE 122 V 157 E. 1d).</w:t>
      </w:r>
    </w:p>
    <w:p>
      <w:r>
        <w:rPr>
          <w:b/>
        </w:rPr>
        <w:t>E. 3</w:t>
      </w:r>
    </w:p>
    <w:p>
      <w:r>
        <w:t>3.1    Ausgehend von einer Arbeitsfähigkeit in einer adaptierten Tätigkeit von 80%, gilt es die erwerblichen Auswirkungen der Leistungsbeeinträchtigung zu prüfen. Beim Einkommensvergleich sind die Zahlen für das Jahr 2008 (frühestmöglicher Rentenbeginn; vgl. nachfolgend E. 3.8) heranzuziehen. 3.2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Bundesgerichts vom 16. Mai 2001, I 42/01, mit Hinweisen). Diese Praxis wird mit der empirischen Feststellung begründet, dass die bisherige Tätigkeit im Gesundheitsfall in der Regel weitergeführt worden wäre (Urteil des Bundesgerichts vom 29. August 2002, I 97/00).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3.3    Beim Valideneinkommen ist daher auf das Einkommen abzustellen, welches der Beschwerdeführer im Jahr 2007 bei der C.___ AG ohne Gesundheitsschaden erzielt hätte. Entgegen der Ansicht der Beschwerdegegnerin ist dabei das erzielte Einkommen auf ein volles Arbeitspensum aufzurechnen, weil der Beschwerdeführer - wie in der Replik (act. G 12 S. 5f. E.6) überzeugend ausgeführt wird - im Gesundheitsfall zu 100% erwerbstätig gewesen wäre. Somit ist vorliegend von einem Jahreseinkommen 2007 von Fr. 71'500.-- (13 x Fr. 5'500.--; IV-act. 14/17) auszugehen. Dem Arbeitsvertrag zwischen der C.___ AG und dem Beschwerdeführer mit Gültigkeit ab 1. Mai 2009 ist keine Lohnerhöhung zu entnehmen (IV-act. 41), weshalb auch für das Jahr 2008 unverändert von einem Valideneinkommen von Fr. 71'500.-- auszugehen ist. 3.4    Unbestrittenermassen ist das Invalideneinkommen anhand der Tabellenlöhne der LSE zu bestimmen. Aufgrund der gesundheitsbedingten Einschränkungen ist dem Beschwerdeführer noch eine leichte Hilfstätigkeit zumutbar, weshalb die LSE-Tabelle TA1, Privater Sektor, Total Anforderungsniveau 4 (einfache und repetitive Tätigkeiten) anzuwenden ist. Im Jahr 2008 lag der Durchschnittslohn für einen Mann bei einer wöchentlichen Arbeitszeit von 40 Stunden bei Fr. 4'806.--. Aufgerechnet auf die 2008 vorherrschende durchschnittliche wöchentliche Arbeitszeit von 41.6 Stunden ergibt sich bei einem 80% Pensum ein Jahreseinkommen von Fr. 47'983.--. 3.5    Zu beurteilen bleibt die Frage,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Leidensabzugs ist unzulässig (BGE 126 V 79 E. 5b, bestätigt in AHI 2002 S. 62 und BGE 129 V 481 E. 4.2.3 mit Hinweisen). 3.6    Da der Beschwerdeführer selbst für leichte Hilfstätigkeiten gesundheitsbedingt eingeschränkt ist sowie unter Berücksichtigung des Alters des Beschwerdeführers erscheint ein Abzug von 15%, wie er auch von der Beschwerdegegnerin zugestanden wird, angemessen. Das Invalideneinkommen beläuft sich demnach auf Fr. 40'786.--. 3.7    Aus der Gegenüberstellung des Validen- und des Invalideneinkommens ergibt sich ein Invaliditätsgrad von 43% und damit ein Anspruch auf eine Viertelsrente. 3.8    Bezüglich des Rentenbeginns gilt es zu beachten, dass sich der Beschwerdeführer im Februar 2008 zum Leistungsbezug bei der IV angemeldet hat, weshalb gemäss Art. 29 Abs. 1 IVG ein Rentenanspruch grundsätzlich erst sechs Monate später entstehen könnte. Gestützt auf das Rundschreiben Nr. 253 des Bundesamts für Sozialversicherungen (BSV) "5. IV-Revision und Intertemporalrecht" vom 12. Dezember 2007 ist diese Regelung, wonach die Rente erst sechs Monate nach Anmeldung gezahlt werden kann, für alle Fälle nicht anwendbar, in denen das Wartejahr vor dem 1. Januar 2008 zu laufen begann und im Jahr 2008 erfüllt wurde. In diesen Fällen reicht es, wenn die Anmeldung spätestens am 31. Dezember 2008 eingereicht wird. Die Rente kann dann abweichend von Art. 29 Abs. 1 IVG ab Ablauf des Wartejahres gezahlt werden. Vorliegend ist aufgrund der Aktenlage davon auszugehen, dass das Wartejahr im Januar 2007 ausgelöst wurde, da der Beschwerdeführer nach dem am 8. November 2006 erlittenen Unfall noch bis am 6. Januar 2007 gearbeitet hat. Da somit das Wartejahr im Januar 2008 abgelaufen ist, steht dem Beschwerdeführer - gestützt auf das erwähnte Rundschreiben des BSV und die bis 31. Dezember 2007 gültige Version des IVG - ab 1. Januar 2008 eine Viertelsrente der Invalidenversicherung zu.</w:t>
      </w:r>
    </w:p>
    <w:p>
      <w:r>
        <w:rPr>
          <w:b/>
        </w:rPr>
        <w:t>E. 4</w:t>
      </w:r>
    </w:p>
    <w:p>
      <w:r>
        <w:t>4.1    Im Sinn der vorstehenden Erwägungen ist in teilweiser Gutheissung der Beschwerde die Verfügung vom 3. August 2009 aufzuheben und dem Beschwerdeführer ab Januar 2008 eine Viertelsrente auszurichten. Die Sache ist zur Festsetzung der Rentenhöhe an die Beschwerdegegnerin zurückzuweisen. 4.2    Der Beschwerdeführer ist mit seiner Beschwerde lediglich teilweise durchgedrungen, weshalb die Verfahrenskosten und die Parteientschädigung grundsätzlich nach dem Ausmass des Obsiegens zu verteilen bzw. zu bemessen wären. Da die quantitative Überklagung den Prozessaufwand nicht beeinflusst hat, ist nach der bundesgerichtlichen Rechtsprechung allerdings von einem vollen Obsiegen auszugehen (vgl. BGE 117 V 407 E. 2c; Urteile des Bundesgerichts vom 3. Dezember 2010, 8C_568/2010, E. 4.2 und vom 26. Mai 2010, 9C_94/2010, E. 4.3).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dazu kommen Fr. 100.-- Barauslagen für die Zusatzabklärung bei Dr. B.___ (act. G 18). Die Beschwerdegegnerin trägt die gesamten Verfahrenskosten. Dem Beschwerdeführer ist der Kostenvorschuss von Fr. 600.-- zurückzuerstatten. 4.4    Der obsiegende Beschwerdeführer hat einen Anspruch auf eine Parteientschädigung für die Kosten der Vertretung und Prozessführung (Art. 61 lit. g ATSG). Diese ist vom Gericht ermessensweise festzusetzen, wobei insbesondere der Bedeutung der Streitsache und dem Aufwand Rechnung zu tragen ist. Vorliegend erscheint eine Parteientschädigung von Fr. 3'500.-- (inklusive Barauslagen und Mehrwertsteuer) angemessen. Demgemäss hat das Versicherungsgericht im Zirkulationsverfahren gemäss Art. 39 VRP entschieden: 1.       In teilweiser Gutheissung der Beschwerde wird die Verfügung vom 3. August 2009 aufgehoben und dem Beschwerdeführer ab Januar 2008 eine Viertelsrente zugesprochen. Die Sache ist zur Festsetzung der Rentenhöhe an die Beschwerdegegnerin zurückzuweisen. 2.       Die Verfahrenskosten von Fr. 700.-- bezahlt die Beschwerdegegnerin. Der geleistete Kostenvorschuss von Fr. 600.-- wird dem Beschwerdeführer zurückerstattet.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